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BDA" w:rsidRPr="00C94A18" w:rsidRDefault="00081BDA" w:rsidP="00081BDA">
      <w:pPr>
        <w:rPr>
          <w:rFonts w:ascii="Times New Roman" w:hAnsi="Times New Roman" w:cs="Times New Roman"/>
          <w:sz w:val="24"/>
          <w:szCs w:val="24"/>
        </w:rPr>
      </w:pPr>
      <w:bookmarkStart w:id="0" w:name="_GoBack"/>
      <w:bookmarkEnd w:id="0"/>
    </w:p>
    <w:p w:rsidR="00081BDA" w:rsidRPr="00C94A18" w:rsidRDefault="00081BDA" w:rsidP="00A05778">
      <w:pPr>
        <w:ind w:right="1140"/>
        <w:rPr>
          <w:rFonts w:ascii="Times New Roman" w:hAnsi="Times New Roman" w:cs="Times New Roman"/>
          <w:sz w:val="24"/>
          <w:szCs w:val="24"/>
        </w:rPr>
      </w:pPr>
    </w:p>
    <w:p w:rsidR="00081BDA" w:rsidRPr="00C94A18" w:rsidRDefault="00081BDA" w:rsidP="00081BDA">
      <w:pPr>
        <w:pStyle w:val="ListParagraph"/>
        <w:ind w:left="1843" w:right="1140"/>
        <w:jc w:val="center"/>
        <w:rPr>
          <w:rFonts w:ascii="Times New Roman" w:hAnsi="Times New Roman" w:cs="Times New Roman"/>
          <w:sz w:val="24"/>
          <w:szCs w:val="24"/>
          <w:lang w:val="sq-AL"/>
        </w:rPr>
      </w:pPr>
      <w:r w:rsidRPr="00C94A18">
        <w:rPr>
          <w:rFonts w:ascii="Times New Roman" w:hAnsi="Times New Roman" w:cs="Times New Roman"/>
          <w:sz w:val="24"/>
          <w:szCs w:val="24"/>
          <w:lang w:val="sq-AL"/>
        </w:rPr>
        <w:t>MARRËVESHJA E LICENCËS</w:t>
      </w:r>
    </w:p>
    <w:p w:rsidR="00081BDA" w:rsidRPr="00C94A18" w:rsidRDefault="00081BDA" w:rsidP="00081BDA">
      <w:pPr>
        <w:pStyle w:val="ListParagraph"/>
        <w:ind w:left="1843" w:right="1140"/>
        <w:rPr>
          <w:rFonts w:ascii="Times New Roman" w:hAnsi="Times New Roman" w:cs="Times New Roman"/>
          <w:sz w:val="24"/>
          <w:szCs w:val="24"/>
          <w:lang w:val="sq-AL"/>
        </w:rPr>
      </w:pPr>
    </w:p>
    <w:p w:rsidR="00081BDA" w:rsidRPr="00C94A18" w:rsidRDefault="00081BDA" w:rsidP="00081BDA">
      <w:pPr>
        <w:pStyle w:val="ListParagraph"/>
        <w:ind w:left="1843" w:right="52"/>
        <w:rPr>
          <w:rFonts w:ascii="Times New Roman" w:hAnsi="Times New Roman" w:cs="Times New Roman"/>
          <w:sz w:val="24"/>
          <w:szCs w:val="24"/>
          <w:lang w:val="sq-AL"/>
        </w:rPr>
      </w:pPr>
      <w:r w:rsidRPr="00C94A18">
        <w:rPr>
          <w:rFonts w:ascii="Times New Roman" w:hAnsi="Times New Roman" w:cs="Times New Roman"/>
          <w:sz w:val="24"/>
          <w:szCs w:val="24"/>
          <w:lang w:val="sq-AL"/>
        </w:rPr>
        <w:t>Për përdorimin e kombinuar të simbolit të akreditimit të DPA dhe Markës s</w:t>
      </w:r>
      <w:r>
        <w:rPr>
          <w:rFonts w:ascii="Times New Roman" w:hAnsi="Times New Roman" w:cs="Times New Roman"/>
          <w:sz w:val="24"/>
          <w:szCs w:val="24"/>
          <w:lang w:val="sq-AL"/>
        </w:rPr>
        <w:t>ë</w:t>
      </w:r>
      <w:r w:rsidRPr="00C94A18">
        <w:rPr>
          <w:rFonts w:ascii="Times New Roman" w:hAnsi="Times New Roman" w:cs="Times New Roman"/>
          <w:sz w:val="24"/>
          <w:szCs w:val="24"/>
          <w:lang w:val="sq-AL"/>
        </w:rPr>
        <w:t xml:space="preserve"> ILAC MRA </w:t>
      </w:r>
    </w:p>
    <w:p w:rsidR="00081BDA" w:rsidRPr="00C94A18" w:rsidRDefault="00081BDA" w:rsidP="00081BDA">
      <w:pPr>
        <w:pStyle w:val="ListParagraph"/>
        <w:ind w:left="1843" w:right="52"/>
        <w:rPr>
          <w:rFonts w:ascii="Times New Roman" w:hAnsi="Times New Roman" w:cs="Times New Roman"/>
          <w:sz w:val="24"/>
          <w:szCs w:val="24"/>
          <w:lang w:val="sq-AL"/>
        </w:rPr>
      </w:pPr>
    </w:p>
    <w:p w:rsidR="00081BDA" w:rsidRPr="00C94A18" w:rsidRDefault="00081BDA" w:rsidP="00081BDA">
      <w:pPr>
        <w:pStyle w:val="ListParagraph"/>
        <w:ind w:left="1843" w:right="52"/>
        <w:rPr>
          <w:rFonts w:ascii="Times New Roman" w:hAnsi="Times New Roman" w:cs="Times New Roman"/>
          <w:sz w:val="24"/>
          <w:szCs w:val="24"/>
          <w:lang w:val="sq-AL"/>
        </w:rPr>
      </w:pPr>
      <w:r w:rsidRPr="00C94A18">
        <w:rPr>
          <w:rFonts w:ascii="Times New Roman" w:hAnsi="Times New Roman" w:cs="Times New Roman"/>
          <w:sz w:val="24"/>
          <w:szCs w:val="24"/>
          <w:lang w:val="sq-AL"/>
        </w:rPr>
        <w:t>Rënë dakort ndërmjet:</w:t>
      </w:r>
    </w:p>
    <w:p w:rsidR="00081BDA" w:rsidRPr="00C94A18" w:rsidRDefault="00081BDA" w:rsidP="00081BDA">
      <w:pPr>
        <w:pStyle w:val="ListParagraph"/>
        <w:ind w:left="1843" w:right="52"/>
        <w:rPr>
          <w:rFonts w:ascii="Times New Roman" w:hAnsi="Times New Roman" w:cs="Times New Roman"/>
          <w:sz w:val="24"/>
          <w:szCs w:val="24"/>
          <w:lang w:val="sq-AL"/>
        </w:rPr>
      </w:pPr>
    </w:p>
    <w:p w:rsidR="00081BDA" w:rsidRPr="00C94A18" w:rsidRDefault="00081BDA" w:rsidP="00081BDA">
      <w:pPr>
        <w:pStyle w:val="ListParagraph"/>
        <w:ind w:left="1843" w:right="52"/>
        <w:rPr>
          <w:rFonts w:ascii="Times New Roman" w:hAnsi="Times New Roman" w:cs="Times New Roman"/>
          <w:sz w:val="24"/>
          <w:szCs w:val="24"/>
          <w:lang w:val="sq-AL"/>
        </w:rPr>
      </w:pPr>
      <w:r w:rsidRPr="00C94A18">
        <w:rPr>
          <w:rFonts w:ascii="Times New Roman" w:hAnsi="Times New Roman" w:cs="Times New Roman"/>
          <w:sz w:val="24"/>
          <w:szCs w:val="24"/>
          <w:lang w:val="sq-AL"/>
        </w:rPr>
        <w:t>DPA ............., Si licensues (në vijim: Licensues), nga njëra anë,</w:t>
      </w:r>
    </w:p>
    <w:p w:rsidR="00081BDA" w:rsidRPr="00C94A18" w:rsidRDefault="00081BDA" w:rsidP="00081BDA">
      <w:pPr>
        <w:pStyle w:val="ListParagraph"/>
        <w:ind w:left="1843" w:right="52"/>
        <w:rPr>
          <w:rFonts w:ascii="Times New Roman" w:hAnsi="Times New Roman" w:cs="Times New Roman"/>
          <w:sz w:val="24"/>
          <w:szCs w:val="24"/>
          <w:lang w:val="sq-AL"/>
        </w:rPr>
      </w:pPr>
    </w:p>
    <w:p w:rsidR="00081BDA" w:rsidRPr="00C94A18" w:rsidRDefault="00081BDA" w:rsidP="00081BDA">
      <w:pPr>
        <w:pStyle w:val="ListParagraph"/>
        <w:ind w:left="1843" w:right="52"/>
        <w:rPr>
          <w:rFonts w:ascii="Times New Roman" w:hAnsi="Times New Roman" w:cs="Times New Roman"/>
          <w:sz w:val="24"/>
          <w:szCs w:val="24"/>
          <w:lang w:val="sq-AL"/>
        </w:rPr>
      </w:pPr>
      <w:r w:rsidRPr="00C94A18">
        <w:rPr>
          <w:rFonts w:ascii="Times New Roman" w:hAnsi="Times New Roman" w:cs="Times New Roman"/>
          <w:sz w:val="24"/>
          <w:szCs w:val="24"/>
          <w:lang w:val="sq-AL"/>
        </w:rPr>
        <w:t>emri i OVK i akredituar: ......................................................... .. ...... ... (adresa e regjistruar: .............. .............................................., ......... ............................ Nr i Regjistrit: ................................... .................................................; emri i përfaqësuesit: .............................................. .................................................. ................) si i licencuar (në vijim: i Licencuari), nga ana tjetër</w:t>
      </w:r>
    </w:p>
    <w:p w:rsidR="00081BDA" w:rsidRPr="00C94A18" w:rsidRDefault="00081BDA" w:rsidP="00081BDA">
      <w:pPr>
        <w:pStyle w:val="ListParagraph"/>
        <w:ind w:left="1843" w:right="52"/>
        <w:rPr>
          <w:rFonts w:ascii="Times New Roman" w:hAnsi="Times New Roman" w:cs="Times New Roman"/>
          <w:sz w:val="24"/>
          <w:szCs w:val="24"/>
          <w:lang w:val="sq-AL"/>
        </w:rPr>
      </w:pPr>
    </w:p>
    <w:p w:rsidR="00081BDA" w:rsidRPr="00C94A18" w:rsidRDefault="00081BDA" w:rsidP="00081BDA">
      <w:pPr>
        <w:pStyle w:val="ListParagraph"/>
        <w:ind w:left="1843" w:right="52"/>
        <w:rPr>
          <w:rFonts w:ascii="Times New Roman" w:hAnsi="Times New Roman" w:cs="Times New Roman"/>
          <w:sz w:val="24"/>
          <w:szCs w:val="24"/>
          <w:lang w:val="sq-AL"/>
        </w:rPr>
      </w:pPr>
      <w:r w:rsidRPr="00C94A18">
        <w:rPr>
          <w:rFonts w:ascii="Times New Roman" w:hAnsi="Times New Roman" w:cs="Times New Roman"/>
          <w:sz w:val="24"/>
          <w:szCs w:val="24"/>
          <w:lang w:val="sq-AL"/>
        </w:rPr>
        <w:t>në vendin dhe kohën e treguar më poshtë dhe në kushtet e mëposhtme:</w:t>
      </w:r>
    </w:p>
    <w:p w:rsidR="00081BDA" w:rsidRPr="00C94A18" w:rsidRDefault="00081BDA" w:rsidP="00081BDA">
      <w:pPr>
        <w:pStyle w:val="ListParagraph"/>
        <w:ind w:left="1843" w:right="52"/>
        <w:rPr>
          <w:rFonts w:ascii="Times New Roman" w:hAnsi="Times New Roman" w:cs="Times New Roman"/>
          <w:sz w:val="24"/>
          <w:szCs w:val="24"/>
          <w:lang w:val="sq-AL"/>
        </w:rPr>
      </w:pPr>
    </w:p>
    <w:p w:rsidR="00081BDA" w:rsidRPr="00C94A18" w:rsidRDefault="00081BDA" w:rsidP="00081BDA">
      <w:pPr>
        <w:pStyle w:val="ListParagraph"/>
        <w:ind w:left="1843" w:right="52"/>
        <w:rPr>
          <w:rFonts w:ascii="Times New Roman" w:hAnsi="Times New Roman" w:cs="Times New Roman"/>
          <w:sz w:val="24"/>
          <w:szCs w:val="24"/>
          <w:lang w:val="sq-AL"/>
        </w:rPr>
      </w:pPr>
      <w:r w:rsidRPr="00C94A18">
        <w:rPr>
          <w:rFonts w:ascii="Times New Roman" w:hAnsi="Times New Roman" w:cs="Times New Roman"/>
          <w:sz w:val="24"/>
          <w:szCs w:val="24"/>
          <w:lang w:val="sq-AL"/>
        </w:rPr>
        <w:t>1 Preambula</w:t>
      </w:r>
    </w:p>
    <w:p w:rsidR="00081BDA" w:rsidRPr="00C94A18" w:rsidRDefault="00081BDA" w:rsidP="00081BDA">
      <w:pPr>
        <w:pStyle w:val="ListParagraph"/>
        <w:ind w:left="1843" w:right="52"/>
        <w:rPr>
          <w:rFonts w:ascii="Times New Roman" w:hAnsi="Times New Roman" w:cs="Times New Roman"/>
          <w:sz w:val="24"/>
          <w:szCs w:val="24"/>
          <w:lang w:val="sq-AL"/>
        </w:rPr>
      </w:pPr>
    </w:p>
    <w:p w:rsidR="00081BDA" w:rsidRPr="00C94A18" w:rsidRDefault="00081BDA" w:rsidP="00081BDA">
      <w:pPr>
        <w:pStyle w:val="ListParagraph"/>
        <w:ind w:left="1843" w:right="52"/>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Bazuar në Marrëveshjen e Licencës ndërmjet Licencuesit dhe ILAC, Politika e DPA-së DA-PO-005 dhe ILAC-R7: 05/2015, Licensuesi ka të drejtë për përdorimin e Markës sëës së ILAC MRA -it të kombinuar me simbolin e akreditimit të përcaktuar nga Licencuesi (në vijim: Markës së Akreditimit të ILAC MRA e kombinuar). Bazuar në autorizimin e treguar në Preambulë, Licensuesi i jep leje të Licencuarit për përdorimin e Markës sëa e Akreditimit të ILAC MRA e kombinuar nën numrin e regjistrimit Nr. XX.XXX.XXXX.</w:t>
      </w:r>
    </w:p>
    <w:p w:rsidR="00081BDA" w:rsidRPr="00C94A18" w:rsidRDefault="00081BDA" w:rsidP="00081BDA">
      <w:pPr>
        <w:pStyle w:val="ListParagraph"/>
        <w:ind w:left="1843" w:right="52"/>
        <w:jc w:val="both"/>
        <w:rPr>
          <w:rFonts w:ascii="Times New Roman" w:hAnsi="Times New Roman" w:cs="Times New Roman"/>
          <w:sz w:val="24"/>
          <w:szCs w:val="24"/>
          <w:lang w:val="sq-AL"/>
        </w:rPr>
      </w:pPr>
    </w:p>
    <w:p w:rsidR="00081BDA" w:rsidRPr="00C94A18" w:rsidRDefault="00081BDA" w:rsidP="00081BDA">
      <w:pPr>
        <w:pStyle w:val="ListParagraph"/>
        <w:ind w:left="1843" w:right="1140"/>
        <w:rPr>
          <w:rFonts w:ascii="Times New Roman" w:hAnsi="Times New Roman" w:cs="Times New Roman"/>
          <w:sz w:val="24"/>
          <w:szCs w:val="24"/>
          <w:lang w:val="sq-AL"/>
        </w:rPr>
      </w:pPr>
      <w:r w:rsidRPr="00C94A18">
        <w:rPr>
          <w:rFonts w:ascii="Times New Roman" w:hAnsi="Times New Roman" w:cs="Times New Roman"/>
          <w:sz w:val="24"/>
          <w:szCs w:val="24"/>
          <w:lang w:val="sq-AL"/>
        </w:rPr>
        <w:t>2 Qëllimi i Marrëveshjes</w:t>
      </w:r>
    </w:p>
    <w:p w:rsidR="00081BDA" w:rsidRPr="00C94A18" w:rsidRDefault="00081BDA" w:rsidP="00081BDA">
      <w:pPr>
        <w:pStyle w:val="ListParagraph"/>
        <w:ind w:left="1843" w:right="1140"/>
        <w:rPr>
          <w:rFonts w:ascii="Times New Roman" w:hAnsi="Times New Roman" w:cs="Times New Roman"/>
          <w:sz w:val="24"/>
          <w:szCs w:val="24"/>
          <w:lang w:val="sq-AL"/>
        </w:rPr>
      </w:pPr>
    </w:p>
    <w:p w:rsidR="00081BDA" w:rsidRPr="00C94A18" w:rsidRDefault="00081BDA" w:rsidP="00081BDA">
      <w:pPr>
        <w:pStyle w:val="ListParagraph"/>
        <w:ind w:left="1843" w:right="52"/>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Qëllimi i kësaj Marrëveshjeje është përdorimi i Markës sëës të ILAC- MRA të kombinuar me simbolin e akreditimit të Licencuesit sipas kushteve të përcaktuara në këtë Marrëveshje. I Licensuari merr përsipër të përdorë Markës e Kombinuar të ILAC MRA në mënyrë të duhur në zbatim të rregullave të përcaktuara në dokumentin DA-PO-005 dhe ILAC-R7: 05/2015.</w:t>
      </w:r>
    </w:p>
    <w:p w:rsidR="00081BDA" w:rsidRPr="00C94A18" w:rsidRDefault="00081BDA" w:rsidP="00081BDA">
      <w:pPr>
        <w:pStyle w:val="ListParagraph"/>
        <w:ind w:left="1843" w:right="52"/>
        <w:rPr>
          <w:rFonts w:ascii="Times New Roman" w:hAnsi="Times New Roman" w:cs="Times New Roman"/>
          <w:sz w:val="24"/>
          <w:szCs w:val="24"/>
          <w:lang w:val="sq-AL"/>
        </w:rPr>
      </w:pPr>
    </w:p>
    <w:p w:rsidR="00081BDA" w:rsidRPr="00C76BFF" w:rsidRDefault="00081BDA" w:rsidP="00081BDA">
      <w:pPr>
        <w:pStyle w:val="ListParagraph"/>
        <w:ind w:left="1843" w:right="52"/>
        <w:rPr>
          <w:rFonts w:ascii="Times New Roman" w:hAnsi="Times New Roman" w:cs="Times New Roman"/>
          <w:sz w:val="24"/>
          <w:szCs w:val="24"/>
          <w:lang w:val="sq-AL"/>
        </w:rPr>
      </w:pPr>
      <w:r w:rsidRPr="00C94A18">
        <w:rPr>
          <w:rFonts w:ascii="Times New Roman" w:hAnsi="Times New Roman" w:cs="Times New Roman"/>
          <w:sz w:val="24"/>
          <w:szCs w:val="24"/>
          <w:lang w:val="sq-AL"/>
        </w:rPr>
        <w:t>3. Shtrirja e Licencës</w:t>
      </w:r>
    </w:p>
    <w:p w:rsidR="00081BDA" w:rsidRPr="00C76BFF" w:rsidRDefault="00081BDA" w:rsidP="00081BDA">
      <w:pPr>
        <w:ind w:right="52"/>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lastRenderedPageBreak/>
        <w:t>Licensuesi i jep të Licencuarit të drejtën për të përdorur Markës së MRA të ILAC-it të kombinuar me simbolin e akreditimit për ta shfaqur atë në raportet e testimit / inspektimit, kryetarët e letrave, referencat, reklamat, faqet e internetit dhe dokumentet e tjera me qëllim të demonstrimit përmes akreditimit të vlefshëm se Licensuesi është një nënshkrues i ILAC MRA. I Licencuari nuk mund të përdorë Markës sëën e kombinuar ILAC MRA gjatë kohës së pezullimit të plotë të statusit të tij të akredituar.</w:t>
      </w:r>
    </w:p>
    <w:p w:rsidR="00081BDA" w:rsidRPr="001E78F2" w:rsidRDefault="00081BDA" w:rsidP="00081BDA">
      <w:pPr>
        <w:ind w:right="-38"/>
        <w:jc w:val="both"/>
        <w:rPr>
          <w:rFonts w:ascii="Times New Roman" w:hAnsi="Times New Roman" w:cs="Times New Roman"/>
          <w:sz w:val="24"/>
          <w:szCs w:val="24"/>
        </w:rPr>
      </w:pPr>
      <w:r w:rsidRPr="001E78F2">
        <w:rPr>
          <w:rFonts w:ascii="Times New Roman" w:hAnsi="Times New Roman" w:cs="Times New Roman"/>
          <w:sz w:val="24"/>
          <w:szCs w:val="24"/>
          <w:lang w:val="sq-AL"/>
        </w:rPr>
        <w:t>Markës sëa e kombinuar ILAC MRA do të përdoret sipas shembullit të treguar në pikën 7.1, në përputhje me rregullat e vlefshme të procedurës DA-PO-005.  I Licencuari nuk mund të përdorë Markës sëën e Kombinuar ILAC MRA derisa të ketë marrë miratimin me shkrim nga Licensuesi.</w:t>
      </w: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4. Kontrolli i përdorimit të Markë</w:t>
      </w:r>
      <w:r>
        <w:rPr>
          <w:rFonts w:ascii="Times New Roman" w:hAnsi="Times New Roman" w:cs="Times New Roman"/>
          <w:sz w:val="24"/>
          <w:szCs w:val="24"/>
          <w:lang w:val="sq-AL"/>
        </w:rPr>
        <w:t>s</w:t>
      </w:r>
      <w:r w:rsidRPr="001E78F2">
        <w:rPr>
          <w:rFonts w:ascii="Times New Roman" w:hAnsi="Times New Roman" w:cs="Times New Roman"/>
          <w:sz w:val="24"/>
          <w:szCs w:val="24"/>
          <w:lang w:val="sq-AL"/>
        </w:rPr>
        <w:t xml:space="preserve"> së kombinuar ILAC MRA. </w:t>
      </w: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I Licencuari garanton përdorimin e Markës së Kombinuar ILAC MRA në përputhje me kërkesat e përcaktuara në këtë Marrëveshje, nuk do ta përdorë atë në ndonjë mënyrë tjetër dhe nuk do të dëmtojë reputacionin e ILAC ose Licensuesit.</w:t>
      </w:r>
    </w:p>
    <w:p w:rsidR="00081BDA" w:rsidRPr="001E78F2"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Licencuesi ka të drejtë të monitorojë përdorimin Markës se Kombinuar ILAC MRA.</w:t>
      </w:r>
    </w:p>
    <w:p w:rsidR="00081BDA" w:rsidRPr="00C94A18" w:rsidRDefault="00081BDA" w:rsidP="00081BDA">
      <w:pPr>
        <w:pStyle w:val="ListParagraph"/>
        <w:tabs>
          <w:tab w:val="left" w:pos="9090"/>
          <w:tab w:val="left" w:pos="9180"/>
          <w:tab w:val="left" w:pos="9952"/>
        </w:tabs>
        <w:ind w:left="1778" w:right="-38"/>
        <w:jc w:val="both"/>
        <w:rPr>
          <w:rFonts w:ascii="Times New Roman" w:hAnsi="Times New Roman" w:cs="Times New Roman"/>
          <w:sz w:val="24"/>
          <w:szCs w:val="24"/>
          <w:lang w:val="sq-AL"/>
        </w:rPr>
      </w:pP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5. Të Drejtat dhe Detyrimet</w:t>
      </w: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Nëse i Licencuari nuk ushtron vigjilencën e duhur në përdorimin e Markës së Kombinuar ILAC MRA, Licensuesi mund të tërheqë me efekt të menjëhershëm të drejtën e përdorimit të Markës së Kombinuar ILAC MRA. Licensuesi nuk merr përgjegjësi për pasojat e tërheqjes. Licencuesi mund të publikojë në faqen e vet të internetit shkeljen e Marrëveshjes së Licencës.</w:t>
      </w:r>
    </w:p>
    <w:p w:rsidR="00081BDA" w:rsidRPr="001E78F2"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Nëse Marrëveshja e Licencës për përdorimin e Markës sëKombinuar ILAC MRA është shkelur nga një palë e tretë, palët kontraktuese do të informojnë menjëherë njëri tjetrin. Palët Kontraktuese do të bashkëpunojnë në veprimet e ndërmarra kundër palës së tretë. Nëse i Licencuari vendos të ngrejë procedurë ligjore, ai do të marrë një miratim me shkrim nga Licencuesi para se të fillojë procedimet ligjore.</w:t>
      </w: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6. Pretendimet e Palëve të Treta</w:t>
      </w: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Çdo kërkesë kundër të Licencuarit nga një palë e tretë në lidhje me përdorimin e Markës së Kombinuar të ILAC MRA do të raportohet me shkrim nga i Licencuari tek Licensuesi dhe i Licencuari do të informojë Licencuesin për mundësinë për të marrë pjesë në një veprim ligjor.</w:t>
      </w:r>
    </w:p>
    <w:p w:rsidR="00081BDA" w:rsidRPr="001E78F2"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Në çdo procedim ligjor, miratimi paraprak i Licencuesit kërkohet që i Licencuari të marrë deklarata ligjore. Në veprimet ligjore për pretendimet nga një palë e tretë, të gjitha shpenzimet ligjore dhe të tjera, si dhe detyrimet, janë përgjegjësi e të Licencuarit.</w:t>
      </w:r>
    </w:p>
    <w:p w:rsidR="00081BDA" w:rsidRPr="00C94A18" w:rsidRDefault="00081BDA" w:rsidP="00081BDA">
      <w:pPr>
        <w:pStyle w:val="ListParagraph"/>
        <w:tabs>
          <w:tab w:val="left" w:pos="9090"/>
          <w:tab w:val="left" w:pos="9180"/>
          <w:tab w:val="left" w:pos="9952"/>
        </w:tabs>
        <w:ind w:left="1778" w:right="-38"/>
        <w:jc w:val="both"/>
        <w:rPr>
          <w:rFonts w:ascii="Times New Roman" w:hAnsi="Times New Roman" w:cs="Times New Roman"/>
          <w:sz w:val="24"/>
          <w:szCs w:val="24"/>
          <w:lang w:val="sq-AL"/>
        </w:rPr>
      </w:pP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lastRenderedPageBreak/>
        <w:t>7. Dëmshpërblimi</w:t>
      </w:r>
    </w:p>
    <w:p w:rsidR="00081BDA" w:rsidRPr="00C76BFF" w:rsidRDefault="00081BDA" w:rsidP="00081BDA">
      <w:pPr>
        <w:tabs>
          <w:tab w:val="left" w:pos="9090"/>
          <w:tab w:val="left" w:pos="9180"/>
          <w:tab w:val="left" w:pos="9952"/>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Nëse Licensuesit i shkaktohen dëme për shkak të keqpërdorimit të Licencës së Markës së Kombinuar të ILAC MRA ose për shkak të shkeljes së Marrëveshjes së Licencës së Markës së Kombinuar të ILAC MRA, Licensuesi mund të kërkojë  dëmshpërblim ndaj të Licencuarit.</w:t>
      </w:r>
    </w:p>
    <w:p w:rsidR="00081BDA" w:rsidRPr="001E78F2" w:rsidRDefault="00081BDA" w:rsidP="00081BDA">
      <w:pPr>
        <w:tabs>
          <w:tab w:val="left" w:pos="9090"/>
          <w:tab w:val="left" w:pos="9180"/>
          <w:tab w:val="left" w:pos="9952"/>
        </w:tabs>
        <w:ind w:right="-38"/>
        <w:jc w:val="both"/>
        <w:rPr>
          <w:rFonts w:ascii="Times New Roman" w:hAnsi="Times New Roman" w:cs="Times New Roman"/>
          <w:sz w:val="24"/>
          <w:szCs w:val="24"/>
        </w:rPr>
      </w:pPr>
      <w:r w:rsidRPr="001E78F2">
        <w:rPr>
          <w:rFonts w:ascii="Times New Roman" w:hAnsi="Times New Roman" w:cs="Times New Roman"/>
          <w:sz w:val="24"/>
          <w:szCs w:val="24"/>
          <w:lang w:val="sq-AL"/>
        </w:rPr>
        <w:t>Licencuesi do t'i japë të Licencuarit një paralajmërim me shkrim për veprimin e synuar dhe i bën thirrje të Licencuarit që t'i përgjigjet kërkesës për dëmshpërblim të Licencuesit brenda 15 ditëve para fillimit të procedurave ligjore. I Licencuari do të ketë bashkëpunim të ngushtë me Licencuesin dhe do të marrë të gjitha hapat e nevojshëm për të rivendosur pajtueshmërinë me kërkesat në Marrëveshjen e Licencës</w:t>
      </w:r>
    </w:p>
    <w:p w:rsidR="00081BDA" w:rsidRPr="00C94A18" w:rsidRDefault="00081BDA" w:rsidP="00081BDA">
      <w:pPr>
        <w:pStyle w:val="ListParagraph"/>
        <w:tabs>
          <w:tab w:val="left" w:pos="9090"/>
          <w:tab w:val="left" w:pos="9180"/>
          <w:tab w:val="left" w:pos="9952"/>
        </w:tabs>
        <w:ind w:left="1778" w:right="-38"/>
        <w:jc w:val="both"/>
        <w:rPr>
          <w:rFonts w:ascii="Times New Roman" w:hAnsi="Times New Roman" w:cs="Times New Roman"/>
          <w:sz w:val="24"/>
          <w:szCs w:val="24"/>
        </w:rPr>
      </w:pP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8. Përfundimi i Marrëveshjes së Licencës</w:t>
      </w: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Kjo Marrëveshje Licence është e vlefshme nga data e nënshkrimit të saj deri në datën e përfundimit të akreditimit të Licencuarit. Në rast të riakreditimit Marrëveshja automatikisht vazhdon të jetë e vlefshme. Në rast të skadimit të vlefshmërisë së akreditimit, i Licencuari nuk ka të drejtë të përdorë Markën e kombinuar të ILAC MRA.</w:t>
      </w:r>
    </w:p>
    <w:p w:rsidR="00081BDA" w:rsidRPr="001E78F2" w:rsidRDefault="00081BDA" w:rsidP="00081BDA">
      <w:pPr>
        <w:tabs>
          <w:tab w:val="left" w:pos="9450"/>
        </w:tabs>
        <w:ind w:right="-38"/>
        <w:jc w:val="both"/>
        <w:rPr>
          <w:rFonts w:ascii="Times New Roman" w:hAnsi="Times New Roman" w:cs="Times New Roman"/>
          <w:sz w:val="24"/>
          <w:szCs w:val="24"/>
          <w:lang w:val="sq-AL"/>
        </w:rPr>
      </w:pPr>
      <w:r w:rsidRPr="001E78F2">
        <w:rPr>
          <w:rFonts w:ascii="Times New Roman" w:hAnsi="Times New Roman" w:cs="Times New Roman"/>
          <w:sz w:val="24"/>
          <w:szCs w:val="24"/>
          <w:lang w:val="sq-AL"/>
        </w:rPr>
        <w:t>Nëse akreditimi pezullohet, i Licencuari nuk ka të drejtë të përdorë Markën e Kombinuar të ILAC MRA. Në rast të pezullimit të akreditimit, kjo Marrëveshje ndërpritet në gjashtë muaj pas pezullimit.</w:t>
      </w: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C76BFF">
        <w:rPr>
          <w:rFonts w:ascii="Times New Roman" w:hAnsi="Times New Roman" w:cs="Times New Roman"/>
          <w:sz w:val="24"/>
          <w:szCs w:val="24"/>
          <w:lang w:val="sq-AL"/>
        </w:rPr>
        <w:t>Marrëveshja e Licencës bëhet e pavlefshme për shkak të dispozitave të rregullave të së drejtës ose të rregullave të detyrueshme, për një nga arsyet e mëposhtme:</w:t>
      </w: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C76BFF">
        <w:rPr>
          <w:rFonts w:ascii="Times New Roman" w:hAnsi="Times New Roman" w:cs="Times New Roman"/>
          <w:sz w:val="24"/>
          <w:szCs w:val="24"/>
          <w:lang w:val="sq-AL"/>
        </w:rPr>
        <w:t>Për Licencuesin</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a) nëse ka mbaruar së egzistuari,</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b) nëse është përjashtuar ose pezulluar nga ILAC MRA.</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Për të Licencuarin</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a) nëse falimenton,</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b) nëse ka pushuar së egzituari,</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c) nëse vlefshmëria e akreditimit të tij mbaron,</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r w:rsidRPr="00C94A18">
        <w:rPr>
          <w:rFonts w:ascii="Times New Roman" w:hAnsi="Times New Roman" w:cs="Times New Roman"/>
          <w:sz w:val="24"/>
          <w:szCs w:val="24"/>
          <w:lang w:val="sq-AL"/>
        </w:rPr>
        <w:t>d) nëse kohëzgjatja e pezullimit të akreditimit të tij i tejkalon gjashtë muaj.</w:t>
      </w:r>
    </w:p>
    <w:p w:rsidR="00081BDA" w:rsidRPr="00C94A18" w:rsidRDefault="00081BDA" w:rsidP="00081BDA">
      <w:pPr>
        <w:pStyle w:val="ListParagraph"/>
        <w:tabs>
          <w:tab w:val="left" w:pos="9450"/>
        </w:tabs>
        <w:ind w:left="1778" w:right="-38"/>
        <w:jc w:val="both"/>
        <w:rPr>
          <w:rFonts w:ascii="Times New Roman" w:hAnsi="Times New Roman" w:cs="Times New Roman"/>
          <w:sz w:val="24"/>
          <w:szCs w:val="24"/>
          <w:lang w:val="sq-AL"/>
        </w:rPr>
      </w:pP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C76BFF">
        <w:rPr>
          <w:rFonts w:ascii="Times New Roman" w:hAnsi="Times New Roman" w:cs="Times New Roman"/>
          <w:sz w:val="24"/>
          <w:szCs w:val="24"/>
          <w:lang w:val="sq-AL"/>
        </w:rPr>
        <w:t>9 Dispozita të fundit</w:t>
      </w: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C76BFF">
        <w:rPr>
          <w:rFonts w:ascii="Times New Roman" w:hAnsi="Times New Roman" w:cs="Times New Roman"/>
          <w:sz w:val="24"/>
          <w:szCs w:val="24"/>
          <w:lang w:val="sq-AL"/>
        </w:rPr>
        <w:t>Kjo Marrëveshje Licence ose disa nga klauzolat e saj mund të bëhen të pavlefshme, nëse rregullat e zbatueshme të ligjit ose rregulloret e detyrueshme vendosin rregulla që janë në konflikt ose janë të ndryshme nga dispozitat e kësaj Marrëveshjeje.</w:t>
      </w: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C76BFF">
        <w:rPr>
          <w:rFonts w:ascii="Times New Roman" w:hAnsi="Times New Roman" w:cs="Times New Roman"/>
          <w:sz w:val="24"/>
          <w:szCs w:val="24"/>
          <w:lang w:val="sq-AL"/>
        </w:rPr>
        <w:lastRenderedPageBreak/>
        <w:t>Në rast mosmarrëveshjesh, Palët Kontraktuese duhet të bashkëpunojnë për ndryshimin e Marrëveshjes me pëlqimin e ndërsjellë  me qëllim që marrëveshja të arrijë rezultatin e synuar dhe që zbatimi i Marrëveshjes të mos rezultojë në shkelje statutore  ose apo rregullime të detyrueshme.</w:t>
      </w:r>
    </w:p>
    <w:p w:rsidR="00081BDA" w:rsidRPr="00C76BFF" w:rsidRDefault="00081BDA" w:rsidP="00081BDA">
      <w:pPr>
        <w:tabs>
          <w:tab w:val="left" w:pos="9450"/>
        </w:tabs>
        <w:ind w:right="-38"/>
        <w:jc w:val="both"/>
        <w:rPr>
          <w:rFonts w:ascii="Times New Roman" w:hAnsi="Times New Roman" w:cs="Times New Roman"/>
          <w:sz w:val="24"/>
          <w:szCs w:val="24"/>
          <w:lang w:val="sq-AL"/>
        </w:rPr>
      </w:pPr>
      <w:r w:rsidRPr="00C76BFF">
        <w:rPr>
          <w:rFonts w:ascii="Times New Roman" w:hAnsi="Times New Roman" w:cs="Times New Roman"/>
          <w:sz w:val="24"/>
          <w:szCs w:val="24"/>
          <w:lang w:val="sq-AL"/>
        </w:rPr>
        <w:t>Kjo Marrëveshje Licence bëhet e vlefshme me nënshkrimin e Palëve Kontraktuese. Kjo Marrëveshje nuk mund të ndryshohet përveçse me marrëveshjen me shkrim të Licencuesit dhe të Licencuarit.</w:t>
      </w:r>
    </w:p>
    <w:p w:rsidR="00081BDA" w:rsidRPr="00C76BFF" w:rsidRDefault="00081BDA" w:rsidP="00081BDA">
      <w:pPr>
        <w:tabs>
          <w:tab w:val="left" w:pos="9450"/>
        </w:tabs>
        <w:ind w:right="-38"/>
        <w:jc w:val="both"/>
        <w:rPr>
          <w:rFonts w:ascii="Times New Roman" w:hAnsi="Times New Roman" w:cs="Times New Roman"/>
          <w:sz w:val="24"/>
          <w:szCs w:val="24"/>
        </w:rPr>
      </w:pPr>
      <w:r w:rsidRPr="00C76BFF">
        <w:rPr>
          <w:rFonts w:ascii="Times New Roman" w:hAnsi="Times New Roman" w:cs="Times New Roman"/>
          <w:sz w:val="24"/>
          <w:szCs w:val="24"/>
          <w:lang w:val="sq-AL"/>
        </w:rPr>
        <w:t>Nënshkruar në ...... më ......</w:t>
      </w:r>
    </w:p>
    <w:p w:rsidR="00081BDA" w:rsidRPr="00C94A18" w:rsidRDefault="00081BDA" w:rsidP="00081BDA">
      <w:pPr>
        <w:pStyle w:val="ListParagraph"/>
        <w:ind w:left="1778" w:right="1140"/>
        <w:rPr>
          <w:rFonts w:ascii="Times New Roman" w:hAnsi="Times New Roman" w:cs="Times New Roman"/>
          <w:sz w:val="24"/>
          <w:szCs w:val="24"/>
        </w:rPr>
      </w:pPr>
    </w:p>
    <w:tbl>
      <w:tblPr>
        <w:tblStyle w:val="TableGrid"/>
        <w:tblW w:w="0" w:type="auto"/>
        <w:tblInd w:w="1778" w:type="dxa"/>
        <w:tblLook w:val="04A0" w:firstRow="1" w:lastRow="0" w:firstColumn="1" w:lastColumn="0" w:noHBand="0" w:noVBand="1"/>
      </w:tblPr>
      <w:tblGrid>
        <w:gridCol w:w="3553"/>
        <w:gridCol w:w="3685"/>
      </w:tblGrid>
      <w:tr w:rsidR="00081BDA" w:rsidRPr="00C94A18" w:rsidTr="008F1BB3">
        <w:tc>
          <w:tcPr>
            <w:tcW w:w="5525" w:type="dxa"/>
          </w:tcPr>
          <w:p w:rsidR="00081BDA" w:rsidRPr="00C94A18" w:rsidRDefault="00081BDA" w:rsidP="008F1BB3">
            <w:pPr>
              <w:pStyle w:val="ListParagraph"/>
              <w:tabs>
                <w:tab w:val="left" w:pos="3802"/>
              </w:tabs>
              <w:ind w:left="0" w:right="430"/>
              <w:rPr>
                <w:sz w:val="24"/>
                <w:szCs w:val="24"/>
              </w:rPr>
            </w:pPr>
            <w:r w:rsidRPr="00C94A18">
              <w:rPr>
                <w:sz w:val="24"/>
                <w:szCs w:val="24"/>
              </w:rPr>
              <w:t>Në emër të  OVK (të licencuarit)</w:t>
            </w:r>
          </w:p>
          <w:p w:rsidR="00081BDA" w:rsidRPr="00C94A18" w:rsidRDefault="00081BDA" w:rsidP="008F1BB3">
            <w:pPr>
              <w:pStyle w:val="ListParagraph"/>
              <w:ind w:left="0" w:right="1140"/>
              <w:rPr>
                <w:sz w:val="24"/>
                <w:szCs w:val="24"/>
              </w:rPr>
            </w:pPr>
          </w:p>
          <w:p w:rsidR="00081BDA" w:rsidRPr="00C94A18" w:rsidRDefault="00081BDA" w:rsidP="008F1BB3">
            <w:pPr>
              <w:pStyle w:val="ListParagraph"/>
              <w:ind w:left="0" w:right="1140"/>
              <w:rPr>
                <w:sz w:val="24"/>
                <w:szCs w:val="24"/>
              </w:rPr>
            </w:pPr>
          </w:p>
          <w:p w:rsidR="00081BDA" w:rsidRPr="00C94A18" w:rsidRDefault="00081BDA" w:rsidP="008F1BB3">
            <w:pPr>
              <w:pStyle w:val="ListParagraph"/>
              <w:ind w:left="0" w:right="1140"/>
              <w:rPr>
                <w:sz w:val="24"/>
                <w:szCs w:val="24"/>
              </w:rPr>
            </w:pPr>
            <w:r w:rsidRPr="00C94A18">
              <w:rPr>
                <w:sz w:val="24"/>
                <w:szCs w:val="24"/>
              </w:rPr>
              <w:t>Nënshkrimi:</w:t>
            </w:r>
          </w:p>
          <w:p w:rsidR="00081BDA" w:rsidRPr="00C94A18" w:rsidRDefault="00081BDA" w:rsidP="008F1BB3">
            <w:pPr>
              <w:pStyle w:val="ListParagraph"/>
              <w:ind w:left="0" w:right="1140"/>
              <w:rPr>
                <w:sz w:val="24"/>
                <w:szCs w:val="24"/>
              </w:rPr>
            </w:pPr>
          </w:p>
          <w:p w:rsidR="00081BDA" w:rsidRPr="00C94A18" w:rsidRDefault="00081BDA" w:rsidP="008F1BB3">
            <w:pPr>
              <w:pStyle w:val="ListParagraph"/>
              <w:ind w:left="0" w:right="1140"/>
              <w:rPr>
                <w:sz w:val="24"/>
                <w:szCs w:val="24"/>
              </w:rPr>
            </w:pPr>
            <w:r w:rsidRPr="00C94A18">
              <w:rPr>
                <w:sz w:val="24"/>
                <w:szCs w:val="24"/>
              </w:rPr>
              <w:t>Emri:</w:t>
            </w:r>
          </w:p>
          <w:p w:rsidR="00081BDA" w:rsidRPr="00C94A18" w:rsidRDefault="00081BDA" w:rsidP="008F1BB3">
            <w:pPr>
              <w:pStyle w:val="ListParagraph"/>
              <w:ind w:left="0" w:right="1140"/>
              <w:rPr>
                <w:sz w:val="24"/>
                <w:szCs w:val="24"/>
              </w:rPr>
            </w:pPr>
            <w:r w:rsidRPr="00C94A18">
              <w:rPr>
                <w:sz w:val="24"/>
                <w:szCs w:val="24"/>
              </w:rPr>
              <w:t>Pozicioni:</w:t>
            </w:r>
          </w:p>
        </w:tc>
        <w:tc>
          <w:tcPr>
            <w:tcW w:w="5525" w:type="dxa"/>
          </w:tcPr>
          <w:p w:rsidR="00081BDA" w:rsidRPr="00C94A18" w:rsidRDefault="00081BDA" w:rsidP="008F1BB3">
            <w:pPr>
              <w:pStyle w:val="ListParagraph"/>
              <w:tabs>
                <w:tab w:val="left" w:pos="3802"/>
              </w:tabs>
              <w:ind w:left="0" w:right="430"/>
              <w:rPr>
                <w:sz w:val="24"/>
                <w:szCs w:val="24"/>
              </w:rPr>
            </w:pPr>
            <w:r w:rsidRPr="00C94A18">
              <w:rPr>
                <w:sz w:val="24"/>
                <w:szCs w:val="24"/>
              </w:rPr>
              <w:t>Në emër të  DPA (licencuesi)</w:t>
            </w:r>
          </w:p>
          <w:p w:rsidR="00081BDA" w:rsidRPr="00C94A18" w:rsidRDefault="00081BDA" w:rsidP="008F1BB3">
            <w:pPr>
              <w:pStyle w:val="ListParagraph"/>
              <w:ind w:left="0" w:right="1140"/>
              <w:rPr>
                <w:sz w:val="24"/>
                <w:szCs w:val="24"/>
              </w:rPr>
            </w:pPr>
          </w:p>
          <w:p w:rsidR="00081BDA" w:rsidRPr="00C94A18" w:rsidRDefault="00081BDA" w:rsidP="008F1BB3">
            <w:pPr>
              <w:pStyle w:val="ListParagraph"/>
              <w:ind w:left="0" w:right="1140"/>
              <w:rPr>
                <w:sz w:val="24"/>
                <w:szCs w:val="24"/>
              </w:rPr>
            </w:pPr>
          </w:p>
          <w:p w:rsidR="00081BDA" w:rsidRPr="00C94A18" w:rsidRDefault="00081BDA" w:rsidP="008F1BB3">
            <w:pPr>
              <w:pStyle w:val="ListParagraph"/>
              <w:ind w:left="0" w:right="1140"/>
              <w:rPr>
                <w:sz w:val="24"/>
                <w:szCs w:val="24"/>
              </w:rPr>
            </w:pPr>
            <w:r w:rsidRPr="00C94A18">
              <w:rPr>
                <w:sz w:val="24"/>
                <w:szCs w:val="24"/>
              </w:rPr>
              <w:t>Nënshkrimi:</w:t>
            </w:r>
          </w:p>
          <w:p w:rsidR="00081BDA" w:rsidRPr="00C94A18" w:rsidRDefault="00081BDA" w:rsidP="008F1BB3">
            <w:pPr>
              <w:pStyle w:val="ListParagraph"/>
              <w:ind w:left="0" w:right="1140"/>
              <w:rPr>
                <w:sz w:val="24"/>
                <w:szCs w:val="24"/>
              </w:rPr>
            </w:pPr>
          </w:p>
          <w:p w:rsidR="00081BDA" w:rsidRPr="00C94A18" w:rsidRDefault="00081BDA" w:rsidP="008F1BB3">
            <w:pPr>
              <w:pStyle w:val="ListParagraph"/>
              <w:ind w:left="0" w:right="1140"/>
              <w:rPr>
                <w:sz w:val="24"/>
                <w:szCs w:val="24"/>
              </w:rPr>
            </w:pPr>
            <w:r>
              <w:rPr>
                <w:sz w:val="24"/>
                <w:szCs w:val="24"/>
              </w:rPr>
              <w:t>Emri:Pranvera Fagu</w:t>
            </w:r>
          </w:p>
          <w:p w:rsidR="00081BDA" w:rsidRPr="00C94A18" w:rsidRDefault="00081BDA" w:rsidP="008F1BB3">
            <w:pPr>
              <w:pStyle w:val="ListParagraph"/>
              <w:tabs>
                <w:tab w:val="left" w:pos="3306"/>
              </w:tabs>
              <w:ind w:left="0" w:right="322"/>
              <w:rPr>
                <w:sz w:val="24"/>
                <w:szCs w:val="24"/>
              </w:rPr>
            </w:pPr>
            <w:r w:rsidRPr="00C94A18">
              <w:rPr>
                <w:sz w:val="24"/>
                <w:szCs w:val="24"/>
              </w:rPr>
              <w:t>Pozicioni: Drejtor i Përgjithshëm</w:t>
            </w:r>
          </w:p>
        </w:tc>
      </w:tr>
    </w:tbl>
    <w:p w:rsidR="00081BDA" w:rsidRPr="00C94A18" w:rsidRDefault="00081BDA" w:rsidP="00081BDA">
      <w:pPr>
        <w:pStyle w:val="ListParagraph"/>
        <w:ind w:left="1778" w:right="1140"/>
        <w:rPr>
          <w:rFonts w:ascii="Times New Roman" w:hAnsi="Times New Roman" w:cs="Times New Roman"/>
          <w:sz w:val="24"/>
          <w:szCs w:val="24"/>
        </w:rPr>
      </w:pPr>
    </w:p>
    <w:p w:rsidR="00081BDA" w:rsidRPr="0008468F" w:rsidRDefault="00081BDA" w:rsidP="00081BDA">
      <w:pPr>
        <w:rPr>
          <w:rFonts w:ascii="Times New Roman" w:hAnsi="Times New Roman" w:cs="Times New Roman"/>
          <w:sz w:val="24"/>
          <w:szCs w:val="24"/>
        </w:rPr>
      </w:pPr>
      <w:r w:rsidRPr="0008468F">
        <w:rPr>
          <w:rFonts w:ascii="Times New Roman" w:hAnsi="Times New Roman" w:cs="Times New Roman"/>
          <w:sz w:val="24"/>
          <w:szCs w:val="24"/>
        </w:rPr>
        <w:t xml:space="preserve"> </w:t>
      </w:r>
    </w:p>
    <w:p w:rsidR="005B1DEF" w:rsidRDefault="00356594"/>
    <w:sectPr w:rsidR="005B1DEF" w:rsidSect="009A7D68">
      <w:headerReference w:type="default" r:id="rId6"/>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94" w:rsidRDefault="00356594" w:rsidP="00081BDA">
      <w:pPr>
        <w:spacing w:after="0" w:line="240" w:lineRule="auto"/>
      </w:pPr>
      <w:r>
        <w:separator/>
      </w:r>
    </w:p>
  </w:endnote>
  <w:endnote w:type="continuationSeparator" w:id="0">
    <w:p w:rsidR="00356594" w:rsidRDefault="00356594" w:rsidP="0008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94" w:rsidRDefault="00356594" w:rsidP="00081BDA">
      <w:pPr>
        <w:spacing w:after="0" w:line="240" w:lineRule="auto"/>
      </w:pPr>
      <w:r>
        <w:separator/>
      </w:r>
    </w:p>
  </w:footnote>
  <w:footnote w:type="continuationSeparator" w:id="0">
    <w:p w:rsidR="00356594" w:rsidRDefault="00356594" w:rsidP="0008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1D" w:rsidRDefault="00356594">
    <w:pPr>
      <w:pStyle w:val="Header"/>
    </w:pPr>
  </w:p>
  <w:tbl>
    <w:tblPr>
      <w:tblW w:w="10289" w:type="dxa"/>
      <w:tblInd w:w="-641" w:type="dxa"/>
      <w:tblLayout w:type="fixed"/>
      <w:tblCellMar>
        <w:left w:w="0" w:type="dxa"/>
        <w:right w:w="0" w:type="dxa"/>
      </w:tblCellMar>
      <w:tblLook w:val="01E0" w:firstRow="1" w:lastRow="1" w:firstColumn="1" w:lastColumn="1" w:noHBand="0" w:noVBand="0"/>
    </w:tblPr>
    <w:tblGrid>
      <w:gridCol w:w="2565"/>
      <w:gridCol w:w="5672"/>
      <w:gridCol w:w="2052"/>
    </w:tblGrid>
    <w:tr w:rsidR="00BE5F1D" w:rsidRPr="00B43571" w:rsidTr="00C94A18">
      <w:trPr>
        <w:trHeight w:hRule="exact" w:val="647"/>
      </w:trPr>
      <w:tc>
        <w:tcPr>
          <w:tcW w:w="2565" w:type="dxa"/>
          <w:vMerge w:val="restart"/>
          <w:tcBorders>
            <w:top w:val="single" w:sz="7" w:space="0" w:color="000000"/>
            <w:left w:val="single" w:sz="7" w:space="0" w:color="000000"/>
            <w:right w:val="single" w:sz="7" w:space="0" w:color="000000"/>
          </w:tcBorders>
        </w:tcPr>
        <w:p w:rsidR="00BE5F1D" w:rsidRPr="00B43571" w:rsidRDefault="00356594" w:rsidP="00B43571">
          <w:pPr>
            <w:spacing w:before="7" w:after="0" w:line="100" w:lineRule="exact"/>
            <w:rPr>
              <w:rFonts w:ascii="Times New Roman" w:eastAsia="Times New Roman" w:hAnsi="Times New Roman" w:cs="Times New Roman"/>
              <w:sz w:val="10"/>
              <w:szCs w:val="10"/>
              <w:lang w:val="en-US"/>
            </w:rPr>
          </w:pPr>
        </w:p>
        <w:p w:rsidR="00BE5F1D" w:rsidRPr="00B43571" w:rsidRDefault="00A06996" w:rsidP="00B43571">
          <w:pPr>
            <w:spacing w:after="0" w:line="200" w:lineRule="exact"/>
            <w:rPr>
              <w:rFonts w:ascii="Arial Black" w:eastAsia="Arial Black" w:hAnsi="Arial Black" w:cs="Arial Black"/>
              <w:sz w:val="17"/>
              <w:szCs w:val="17"/>
              <w:lang w:val="en-US"/>
            </w:rPr>
          </w:pPr>
          <w:r w:rsidRPr="00B43571">
            <w:rPr>
              <w:rFonts w:ascii="Times New Roman" w:eastAsia="Times New Roman" w:hAnsi="Times New Roman" w:cs="Times New Roman"/>
              <w:noProof/>
              <w:sz w:val="20"/>
              <w:szCs w:val="20"/>
              <w:lang w:val="en-US"/>
            </w:rPr>
            <w:drawing>
              <wp:anchor distT="0" distB="0" distL="114300" distR="114300" simplePos="0" relativeHeight="251659264" behindDoc="1" locked="0" layoutInCell="1" allowOverlap="1" wp14:anchorId="0AAE9ACB" wp14:editId="67751737">
                <wp:simplePos x="0" y="0"/>
                <wp:positionH relativeFrom="page">
                  <wp:posOffset>250190</wp:posOffset>
                </wp:positionH>
                <wp:positionV relativeFrom="page">
                  <wp:posOffset>83820</wp:posOffset>
                </wp:positionV>
                <wp:extent cx="942975" cy="495300"/>
                <wp:effectExtent l="19050" t="0" r="9525" b="0"/>
                <wp:wrapNone/>
                <wp:docPr id="38"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pic:spPr>
                    </pic:pic>
                  </a:graphicData>
                </a:graphic>
              </wp:anchor>
            </w:drawing>
          </w:r>
        </w:p>
        <w:p w:rsidR="00BE5F1D" w:rsidRPr="00B43571" w:rsidRDefault="00356594" w:rsidP="00B43571">
          <w:pPr>
            <w:tabs>
              <w:tab w:val="right" w:pos="2946"/>
            </w:tabs>
            <w:spacing w:after="0" w:line="240" w:lineRule="auto"/>
            <w:rPr>
              <w:rFonts w:ascii="Arial Black" w:eastAsia="Times New Roman" w:hAnsi="Arial Black" w:cs="Arial"/>
              <w:bCs/>
              <w:i/>
              <w:iCs/>
              <w:sz w:val="16"/>
              <w:szCs w:val="16"/>
              <w:lang w:val="it-IT"/>
            </w:rPr>
          </w:pPr>
        </w:p>
        <w:p w:rsidR="00BE5F1D" w:rsidRPr="00B43571" w:rsidRDefault="00356594" w:rsidP="00B43571">
          <w:pPr>
            <w:tabs>
              <w:tab w:val="right" w:pos="2946"/>
            </w:tabs>
            <w:spacing w:after="0" w:line="240" w:lineRule="auto"/>
            <w:rPr>
              <w:rFonts w:ascii="Arial Black" w:eastAsia="Times New Roman" w:hAnsi="Arial Black" w:cs="Arial"/>
              <w:bCs/>
              <w:i/>
              <w:iCs/>
              <w:sz w:val="16"/>
              <w:szCs w:val="16"/>
              <w:lang w:val="it-IT"/>
            </w:rPr>
          </w:pPr>
        </w:p>
        <w:p w:rsidR="00BE5F1D" w:rsidRPr="00B43571" w:rsidRDefault="00356594" w:rsidP="00B43571">
          <w:pPr>
            <w:tabs>
              <w:tab w:val="right" w:pos="2946"/>
            </w:tabs>
            <w:spacing w:after="0" w:line="240" w:lineRule="auto"/>
            <w:rPr>
              <w:rFonts w:ascii="Arial Black" w:eastAsia="Times New Roman" w:hAnsi="Arial Black" w:cs="Arial"/>
              <w:bCs/>
              <w:i/>
              <w:iCs/>
              <w:sz w:val="16"/>
              <w:szCs w:val="16"/>
              <w:lang w:val="it-IT"/>
            </w:rPr>
          </w:pPr>
        </w:p>
        <w:p w:rsidR="00BE5F1D" w:rsidRPr="00B43571" w:rsidRDefault="00356594" w:rsidP="00B43571">
          <w:pPr>
            <w:tabs>
              <w:tab w:val="right" w:pos="2946"/>
            </w:tabs>
            <w:spacing w:after="0" w:line="240" w:lineRule="auto"/>
            <w:rPr>
              <w:rFonts w:ascii="Arial Black" w:eastAsia="Times New Roman" w:hAnsi="Arial Black" w:cs="Arial"/>
              <w:bCs/>
              <w:i/>
              <w:iCs/>
              <w:sz w:val="16"/>
              <w:szCs w:val="16"/>
              <w:lang w:val="it-IT"/>
            </w:rPr>
          </w:pPr>
        </w:p>
        <w:p w:rsidR="00BE5F1D" w:rsidRPr="00B43571" w:rsidRDefault="00A06996" w:rsidP="00B43571">
          <w:pPr>
            <w:tabs>
              <w:tab w:val="right" w:pos="2946"/>
            </w:tabs>
            <w:spacing w:after="0" w:line="240" w:lineRule="auto"/>
            <w:rPr>
              <w:rFonts w:ascii="Arial Black" w:eastAsia="Times New Roman" w:hAnsi="Arial Black" w:cs="Arial"/>
              <w:bCs/>
              <w:i/>
              <w:iCs/>
              <w:sz w:val="16"/>
              <w:szCs w:val="16"/>
              <w:lang w:val="it-IT"/>
            </w:rPr>
          </w:pPr>
          <w:r w:rsidRPr="00B43571">
            <w:rPr>
              <w:rFonts w:ascii="Arial Black" w:eastAsia="Times New Roman" w:hAnsi="Arial Black" w:cs="Arial"/>
              <w:bCs/>
              <w:i/>
              <w:iCs/>
              <w:sz w:val="16"/>
              <w:szCs w:val="16"/>
              <w:lang w:val="it-IT"/>
            </w:rPr>
            <w:t xml:space="preserve">Tel: + 355 4 2 269097 </w:t>
          </w:r>
        </w:p>
        <w:p w:rsidR="00BE5F1D" w:rsidRPr="00B43571" w:rsidRDefault="00A06996" w:rsidP="00B43571">
          <w:pPr>
            <w:spacing w:after="0" w:line="240" w:lineRule="auto"/>
            <w:rPr>
              <w:rFonts w:ascii="Arial Black" w:eastAsia="Times New Roman" w:hAnsi="Arial Black" w:cs="Arial"/>
              <w:bCs/>
              <w:i/>
              <w:iCs/>
              <w:sz w:val="16"/>
              <w:szCs w:val="16"/>
              <w:lang w:val="it-IT"/>
            </w:rPr>
          </w:pPr>
          <w:r w:rsidRPr="00B43571">
            <w:rPr>
              <w:rFonts w:ascii="Arial Black" w:eastAsia="Times New Roman" w:hAnsi="Arial Black" w:cs="Arial"/>
              <w:bCs/>
              <w:i/>
              <w:iCs/>
              <w:sz w:val="16"/>
              <w:szCs w:val="16"/>
              <w:lang w:val="it-IT"/>
            </w:rPr>
            <w:t>Fax : + 355 4 2 269325</w:t>
          </w:r>
        </w:p>
        <w:p w:rsidR="00BE5F1D" w:rsidRPr="00B43571" w:rsidRDefault="00A06996" w:rsidP="00B43571">
          <w:pPr>
            <w:spacing w:after="0" w:line="240" w:lineRule="auto"/>
            <w:rPr>
              <w:rFonts w:ascii="Arial Black" w:eastAsia="Times New Roman" w:hAnsi="Arial Black" w:cs="Arial"/>
              <w:bCs/>
              <w:i/>
              <w:iCs/>
              <w:sz w:val="16"/>
              <w:szCs w:val="16"/>
              <w:lang w:val="it-IT"/>
            </w:rPr>
          </w:pPr>
          <w:r w:rsidRPr="00B43571">
            <w:rPr>
              <w:rFonts w:ascii="Arial Black" w:eastAsia="Times New Roman" w:hAnsi="Arial Black" w:cs="Arial"/>
              <w:bCs/>
              <w:i/>
              <w:iCs/>
              <w:sz w:val="16"/>
              <w:szCs w:val="16"/>
              <w:lang w:val="it-IT"/>
            </w:rPr>
            <w:t>E-Mail: info@dpa.gov.al</w:t>
          </w:r>
        </w:p>
        <w:p w:rsidR="00BE5F1D" w:rsidRPr="00B43571" w:rsidRDefault="00356594" w:rsidP="00B43571">
          <w:pPr>
            <w:spacing w:after="0" w:line="220" w:lineRule="exact"/>
            <w:ind w:left="104"/>
            <w:rPr>
              <w:rFonts w:ascii="Arial Black" w:eastAsia="Arial Black" w:hAnsi="Arial Black" w:cs="Arial Black"/>
              <w:sz w:val="17"/>
              <w:szCs w:val="17"/>
              <w:lang w:val="en-US"/>
            </w:rPr>
          </w:pPr>
        </w:p>
      </w:tc>
      <w:tc>
        <w:tcPr>
          <w:tcW w:w="5672" w:type="dxa"/>
          <w:vMerge w:val="restart"/>
          <w:tcBorders>
            <w:top w:val="single" w:sz="7" w:space="0" w:color="000000"/>
            <w:left w:val="single" w:sz="7" w:space="0" w:color="000000"/>
            <w:right w:val="single" w:sz="7" w:space="0" w:color="000000"/>
          </w:tcBorders>
        </w:tcPr>
        <w:p w:rsidR="00BE5F1D" w:rsidRPr="00B43571" w:rsidRDefault="00356594" w:rsidP="00B43571">
          <w:pPr>
            <w:spacing w:before="9" w:after="0" w:line="120" w:lineRule="exact"/>
            <w:rPr>
              <w:rFonts w:ascii="Times New Roman" w:eastAsia="Times New Roman" w:hAnsi="Times New Roman" w:cs="Times New Roman"/>
              <w:sz w:val="12"/>
              <w:szCs w:val="12"/>
              <w:lang w:val="en-US"/>
            </w:rPr>
          </w:pPr>
        </w:p>
        <w:p w:rsidR="00BE5F1D" w:rsidRPr="00B43571" w:rsidRDefault="00356594" w:rsidP="00B43571">
          <w:pPr>
            <w:spacing w:after="0" w:line="200" w:lineRule="exact"/>
            <w:rPr>
              <w:rFonts w:ascii="Times New Roman" w:eastAsia="Times New Roman" w:hAnsi="Times New Roman" w:cs="Times New Roman"/>
              <w:sz w:val="20"/>
              <w:szCs w:val="20"/>
              <w:lang w:val="en-US"/>
            </w:rPr>
          </w:pPr>
        </w:p>
        <w:p w:rsidR="00BE5F1D" w:rsidRPr="00B43571" w:rsidRDefault="00A06996" w:rsidP="00B43571">
          <w:pPr>
            <w:spacing w:after="0" w:line="240" w:lineRule="auto"/>
            <w:jc w:val="center"/>
            <w:rPr>
              <w:rFonts w:ascii="Arial" w:eastAsia="Arial" w:hAnsi="Arial" w:cs="Arial"/>
              <w:b/>
              <w:sz w:val="24"/>
              <w:szCs w:val="24"/>
              <w:lang w:val="en-US"/>
            </w:rPr>
          </w:pPr>
          <w:r w:rsidRPr="00B43571">
            <w:rPr>
              <w:rFonts w:ascii="Arial" w:eastAsia="Arial" w:hAnsi="Arial" w:cs="Arial"/>
              <w:b/>
              <w:sz w:val="24"/>
              <w:szCs w:val="24"/>
              <w:lang w:val="sq-AL"/>
            </w:rPr>
            <w:t xml:space="preserve">Politika për përdorimin e logos, simbolit të  </w:t>
          </w:r>
          <w:r>
            <w:rPr>
              <w:rFonts w:ascii="Arial" w:eastAsia="Arial" w:hAnsi="Arial" w:cs="Arial"/>
              <w:b/>
              <w:sz w:val="24"/>
              <w:szCs w:val="24"/>
              <w:lang w:val="sq-AL"/>
            </w:rPr>
            <w:t xml:space="preserve">    </w:t>
          </w:r>
          <w:r w:rsidRPr="00B43571">
            <w:rPr>
              <w:rFonts w:ascii="Arial" w:eastAsia="Arial" w:hAnsi="Arial" w:cs="Arial"/>
              <w:b/>
              <w:sz w:val="24"/>
              <w:szCs w:val="24"/>
              <w:lang w:val="sq-AL"/>
            </w:rPr>
            <w:t>akreditimit dhe referencës në akreditim</w:t>
          </w:r>
        </w:p>
      </w:tc>
      <w:tc>
        <w:tcPr>
          <w:tcW w:w="2052" w:type="dxa"/>
          <w:tcBorders>
            <w:top w:val="single" w:sz="7" w:space="0" w:color="000000"/>
            <w:left w:val="single" w:sz="7" w:space="0" w:color="000000"/>
            <w:bottom w:val="single" w:sz="7" w:space="0" w:color="000000"/>
            <w:right w:val="single" w:sz="7" w:space="0" w:color="000000"/>
          </w:tcBorders>
        </w:tcPr>
        <w:p w:rsidR="00BE5F1D" w:rsidRPr="00B43571" w:rsidRDefault="00356594" w:rsidP="00B43571">
          <w:pPr>
            <w:spacing w:before="7" w:after="0" w:line="120" w:lineRule="exact"/>
            <w:rPr>
              <w:rFonts w:ascii="Times New Roman" w:eastAsia="Times New Roman" w:hAnsi="Times New Roman" w:cs="Times New Roman"/>
              <w:sz w:val="12"/>
              <w:szCs w:val="12"/>
              <w:lang w:val="en-US"/>
            </w:rPr>
          </w:pPr>
        </w:p>
        <w:p w:rsidR="00BE5F1D" w:rsidRPr="00B43571" w:rsidRDefault="00A06996" w:rsidP="00B43571">
          <w:pPr>
            <w:spacing w:after="0" w:line="240" w:lineRule="auto"/>
            <w:ind w:left="104"/>
            <w:rPr>
              <w:rFonts w:ascii="Arial Black" w:eastAsia="Arial Black" w:hAnsi="Arial Black" w:cs="Arial Black"/>
              <w:sz w:val="17"/>
              <w:szCs w:val="17"/>
              <w:lang w:val="en-US"/>
            </w:rPr>
          </w:pPr>
          <w:r w:rsidRPr="00B43571">
            <w:rPr>
              <w:rFonts w:ascii="Arial Black" w:eastAsia="Arial Black" w:hAnsi="Arial Black" w:cs="Arial Black"/>
              <w:b/>
              <w:spacing w:val="7"/>
              <w:sz w:val="17"/>
              <w:szCs w:val="17"/>
              <w:lang w:val="en-US"/>
            </w:rPr>
            <w:t xml:space="preserve">Kodi </w:t>
          </w:r>
          <w:r w:rsidRPr="00B43571">
            <w:rPr>
              <w:rFonts w:ascii="Arial Black" w:eastAsia="Arial Black" w:hAnsi="Arial Black" w:cs="Arial Black"/>
              <w:b/>
              <w:spacing w:val="-8"/>
              <w:sz w:val="17"/>
              <w:szCs w:val="17"/>
              <w:lang w:val="en-US"/>
            </w:rPr>
            <w:t>DA</w:t>
          </w:r>
          <w:r w:rsidRPr="00B43571">
            <w:rPr>
              <w:rFonts w:ascii="Arial Black" w:eastAsia="Arial Black" w:hAnsi="Arial Black" w:cs="Arial Black"/>
              <w:b/>
              <w:spacing w:val="5"/>
              <w:sz w:val="17"/>
              <w:szCs w:val="17"/>
              <w:lang w:val="en-US"/>
            </w:rPr>
            <w:t>-</w:t>
          </w:r>
          <w:r w:rsidRPr="00B43571">
            <w:rPr>
              <w:rFonts w:ascii="Arial Black" w:eastAsia="Arial Black" w:hAnsi="Arial Black" w:cs="Arial Black"/>
              <w:b/>
              <w:spacing w:val="1"/>
              <w:sz w:val="17"/>
              <w:szCs w:val="17"/>
              <w:lang w:val="en-US"/>
            </w:rPr>
            <w:t>P</w:t>
          </w:r>
          <w:r w:rsidRPr="00B43571">
            <w:rPr>
              <w:rFonts w:ascii="Arial Black" w:eastAsia="Arial Black" w:hAnsi="Arial Black" w:cs="Arial Black"/>
              <w:b/>
              <w:spacing w:val="-2"/>
              <w:sz w:val="17"/>
              <w:szCs w:val="17"/>
              <w:lang w:val="en-US"/>
            </w:rPr>
            <w:t>O</w:t>
          </w:r>
          <w:r w:rsidRPr="00B43571">
            <w:rPr>
              <w:rFonts w:ascii="Arial Black" w:eastAsia="Arial Black" w:hAnsi="Arial Black" w:cs="Arial Black"/>
              <w:b/>
              <w:spacing w:val="5"/>
              <w:sz w:val="17"/>
              <w:szCs w:val="17"/>
              <w:lang w:val="en-US"/>
            </w:rPr>
            <w:t>-</w:t>
          </w:r>
          <w:r w:rsidRPr="00B43571">
            <w:rPr>
              <w:rFonts w:ascii="Arial Black" w:eastAsia="Arial Black" w:hAnsi="Arial Black" w:cs="Arial Black"/>
              <w:b/>
              <w:spacing w:val="-5"/>
              <w:sz w:val="17"/>
              <w:szCs w:val="17"/>
              <w:lang w:val="en-US"/>
            </w:rPr>
            <w:t>005</w:t>
          </w:r>
          <w:r w:rsidR="00081BDA">
            <w:rPr>
              <w:rFonts w:ascii="Arial Black" w:eastAsia="Arial Black" w:hAnsi="Arial Black" w:cs="Arial Black"/>
              <w:b/>
              <w:spacing w:val="-5"/>
              <w:sz w:val="17"/>
              <w:szCs w:val="17"/>
              <w:lang w:val="en-US"/>
            </w:rPr>
            <w:t xml:space="preserve"> shtojca 1</w:t>
          </w:r>
        </w:p>
      </w:tc>
    </w:tr>
    <w:tr w:rsidR="00BE5F1D" w:rsidRPr="00B43571" w:rsidTr="00FB3F40">
      <w:trPr>
        <w:trHeight w:hRule="exact" w:val="617"/>
      </w:trPr>
      <w:tc>
        <w:tcPr>
          <w:tcW w:w="2565" w:type="dxa"/>
          <w:vMerge/>
          <w:tcBorders>
            <w:left w:val="single" w:sz="7" w:space="0" w:color="000000"/>
            <w:right w:val="single" w:sz="7" w:space="0" w:color="000000"/>
          </w:tcBorders>
        </w:tcPr>
        <w:p w:rsidR="00BE5F1D" w:rsidRPr="00B43571" w:rsidRDefault="00356594" w:rsidP="00B43571">
          <w:pPr>
            <w:spacing w:after="0" w:line="240" w:lineRule="auto"/>
            <w:rPr>
              <w:rFonts w:ascii="Times New Roman" w:eastAsia="Times New Roman" w:hAnsi="Times New Roman" w:cs="Times New Roman"/>
              <w:sz w:val="20"/>
              <w:szCs w:val="20"/>
              <w:lang w:val="en-US"/>
            </w:rPr>
          </w:pPr>
        </w:p>
      </w:tc>
      <w:tc>
        <w:tcPr>
          <w:tcW w:w="5672" w:type="dxa"/>
          <w:vMerge/>
          <w:tcBorders>
            <w:left w:val="single" w:sz="7" w:space="0" w:color="000000"/>
            <w:right w:val="single" w:sz="7" w:space="0" w:color="000000"/>
          </w:tcBorders>
        </w:tcPr>
        <w:p w:rsidR="00BE5F1D" w:rsidRPr="00B43571" w:rsidRDefault="00356594" w:rsidP="00B43571">
          <w:pPr>
            <w:spacing w:after="0" w:line="240" w:lineRule="auto"/>
            <w:rPr>
              <w:rFonts w:ascii="Times New Roman" w:eastAsia="Times New Roman" w:hAnsi="Times New Roman" w:cs="Times New Roman"/>
              <w:sz w:val="20"/>
              <w:szCs w:val="20"/>
              <w:lang w:val="en-US"/>
            </w:rPr>
          </w:pPr>
        </w:p>
      </w:tc>
      <w:tc>
        <w:tcPr>
          <w:tcW w:w="2052" w:type="dxa"/>
          <w:tcBorders>
            <w:top w:val="single" w:sz="7" w:space="0" w:color="000000"/>
            <w:left w:val="single" w:sz="7" w:space="0" w:color="000000"/>
            <w:bottom w:val="single" w:sz="7" w:space="0" w:color="000000"/>
            <w:right w:val="single" w:sz="7" w:space="0" w:color="000000"/>
          </w:tcBorders>
        </w:tcPr>
        <w:p w:rsidR="00BE5F1D" w:rsidRPr="00B43571" w:rsidRDefault="00356594" w:rsidP="00B43571">
          <w:pPr>
            <w:spacing w:before="7" w:after="0" w:line="120" w:lineRule="exact"/>
            <w:rPr>
              <w:rFonts w:ascii="Times New Roman" w:eastAsia="Times New Roman" w:hAnsi="Times New Roman" w:cs="Times New Roman"/>
              <w:sz w:val="12"/>
              <w:szCs w:val="12"/>
              <w:lang w:val="en-US"/>
            </w:rPr>
          </w:pPr>
        </w:p>
        <w:p w:rsidR="00BE5F1D" w:rsidRPr="00B43571" w:rsidRDefault="00A06996" w:rsidP="00B43571">
          <w:pPr>
            <w:spacing w:after="0" w:line="240" w:lineRule="auto"/>
            <w:ind w:left="104"/>
            <w:rPr>
              <w:rFonts w:ascii="Arial Black" w:eastAsia="Arial Black" w:hAnsi="Arial Black" w:cs="Arial Black"/>
              <w:sz w:val="17"/>
              <w:szCs w:val="17"/>
              <w:lang w:val="en-US"/>
            </w:rPr>
          </w:pPr>
          <w:r w:rsidRPr="00B43571">
            <w:rPr>
              <w:rFonts w:ascii="Arial Black" w:eastAsia="Arial Black" w:hAnsi="Arial Black" w:cs="Arial Black"/>
              <w:b/>
              <w:spacing w:val="7"/>
              <w:sz w:val="17"/>
              <w:szCs w:val="17"/>
              <w:lang w:val="en-US"/>
            </w:rPr>
            <w:t>Rishikimi</w:t>
          </w:r>
          <w:r w:rsidRPr="00B43571">
            <w:rPr>
              <w:rFonts w:ascii="Arial Black" w:eastAsia="Arial Black" w:hAnsi="Arial Black" w:cs="Arial Black"/>
              <w:b/>
              <w:sz w:val="17"/>
              <w:szCs w:val="17"/>
              <w:lang w:val="en-US"/>
            </w:rPr>
            <w:t xml:space="preserve"> </w:t>
          </w:r>
          <w:r w:rsidRPr="00B43571">
            <w:rPr>
              <w:rFonts w:ascii="Arial Black" w:eastAsia="Arial Black" w:hAnsi="Arial Black" w:cs="Arial Black"/>
              <w:b/>
              <w:spacing w:val="-5"/>
              <w:sz w:val="17"/>
              <w:szCs w:val="17"/>
              <w:lang w:val="en-US"/>
            </w:rPr>
            <w:t>n</w:t>
          </w:r>
          <w:r w:rsidRPr="00B43571">
            <w:rPr>
              <w:rFonts w:ascii="Arial Black" w:eastAsia="Arial Black" w:hAnsi="Arial Black" w:cs="Arial Black"/>
              <w:b/>
              <w:sz w:val="17"/>
              <w:szCs w:val="17"/>
              <w:lang w:val="en-US"/>
            </w:rPr>
            <w:t>r</w:t>
          </w:r>
          <w:r>
            <w:rPr>
              <w:rFonts w:ascii="Arial Black" w:eastAsia="Arial Black" w:hAnsi="Arial Black" w:cs="Arial Black"/>
              <w:b/>
              <w:sz w:val="17"/>
              <w:szCs w:val="17"/>
              <w:lang w:val="en-US"/>
            </w:rPr>
            <w:t xml:space="preserve"> </w:t>
          </w:r>
          <w:r w:rsidR="00081BDA">
            <w:rPr>
              <w:rFonts w:ascii="Arial Black" w:eastAsia="Arial Black" w:hAnsi="Arial Black" w:cs="Arial Black"/>
              <w:b/>
              <w:sz w:val="17"/>
              <w:szCs w:val="17"/>
              <w:lang w:val="en-US"/>
            </w:rPr>
            <w:t>0</w:t>
          </w:r>
        </w:p>
        <w:p w:rsidR="00BE5F1D" w:rsidRPr="00B43571" w:rsidRDefault="00A06996">
          <w:pPr>
            <w:spacing w:after="0" w:line="200" w:lineRule="exact"/>
            <w:ind w:left="104"/>
            <w:rPr>
              <w:rFonts w:ascii="Arial Black" w:eastAsia="Arial Black" w:hAnsi="Arial Black" w:cs="Arial Black"/>
              <w:sz w:val="17"/>
              <w:szCs w:val="17"/>
              <w:lang w:val="en-US"/>
            </w:rPr>
          </w:pPr>
          <w:r w:rsidRPr="00B43571">
            <w:rPr>
              <w:rFonts w:ascii="Arial Black" w:eastAsia="Arial Black" w:hAnsi="Arial Black" w:cs="Arial Black"/>
              <w:b/>
              <w:spacing w:val="7"/>
              <w:sz w:val="17"/>
              <w:szCs w:val="17"/>
              <w:lang w:val="en-US"/>
            </w:rPr>
            <w:t>D</w:t>
          </w:r>
          <w:r w:rsidRPr="00B43571">
            <w:rPr>
              <w:rFonts w:ascii="Arial Black" w:eastAsia="Arial Black" w:hAnsi="Arial Black" w:cs="Arial Black"/>
              <w:b/>
              <w:spacing w:val="2"/>
              <w:sz w:val="17"/>
              <w:szCs w:val="17"/>
              <w:lang w:val="en-US"/>
            </w:rPr>
            <w:t>t</w:t>
          </w:r>
          <w:r w:rsidRPr="00B43571">
            <w:rPr>
              <w:rFonts w:ascii="Arial Black" w:eastAsia="Arial Black" w:hAnsi="Arial Black" w:cs="Arial Black"/>
              <w:b/>
              <w:sz w:val="17"/>
              <w:szCs w:val="17"/>
              <w:lang w:val="en-US"/>
            </w:rPr>
            <w:t>:</w:t>
          </w:r>
          <w:r>
            <w:rPr>
              <w:rFonts w:ascii="Arial Black" w:eastAsia="Arial Black" w:hAnsi="Arial Black" w:cs="Arial Black"/>
              <w:b/>
              <w:sz w:val="17"/>
              <w:szCs w:val="17"/>
              <w:lang w:val="en-US"/>
            </w:rPr>
            <w:t xml:space="preserve"> </w:t>
          </w:r>
          <w:r w:rsidR="00A05778">
            <w:rPr>
              <w:rFonts w:ascii="Arial Black" w:eastAsia="Arial Black" w:hAnsi="Arial Black" w:cs="Arial Black"/>
              <w:b/>
              <w:sz w:val="17"/>
              <w:szCs w:val="17"/>
              <w:lang w:val="en-US"/>
            </w:rPr>
            <w:t>05.02.2025</w:t>
          </w:r>
        </w:p>
      </w:tc>
    </w:tr>
    <w:tr w:rsidR="00BE5F1D" w:rsidRPr="00B43571" w:rsidTr="00FB3F40">
      <w:trPr>
        <w:trHeight w:hRule="exact" w:val="440"/>
      </w:trPr>
      <w:tc>
        <w:tcPr>
          <w:tcW w:w="2565" w:type="dxa"/>
          <w:vMerge/>
          <w:tcBorders>
            <w:left w:val="single" w:sz="7" w:space="0" w:color="000000"/>
            <w:bottom w:val="single" w:sz="7" w:space="0" w:color="000000"/>
            <w:right w:val="single" w:sz="7" w:space="0" w:color="000000"/>
          </w:tcBorders>
        </w:tcPr>
        <w:p w:rsidR="00BE5F1D" w:rsidRPr="00B43571" w:rsidRDefault="00356594" w:rsidP="00B43571">
          <w:pPr>
            <w:spacing w:after="0" w:line="240" w:lineRule="auto"/>
            <w:rPr>
              <w:rFonts w:ascii="Times New Roman" w:eastAsia="Times New Roman" w:hAnsi="Times New Roman" w:cs="Times New Roman"/>
              <w:sz w:val="20"/>
              <w:szCs w:val="20"/>
              <w:lang w:val="en-US"/>
            </w:rPr>
          </w:pPr>
        </w:p>
      </w:tc>
      <w:tc>
        <w:tcPr>
          <w:tcW w:w="5672" w:type="dxa"/>
          <w:vMerge/>
          <w:tcBorders>
            <w:left w:val="single" w:sz="7" w:space="0" w:color="000000"/>
            <w:bottom w:val="single" w:sz="7" w:space="0" w:color="000000"/>
            <w:right w:val="single" w:sz="7" w:space="0" w:color="000000"/>
          </w:tcBorders>
        </w:tcPr>
        <w:p w:rsidR="00BE5F1D" w:rsidRPr="00B43571" w:rsidRDefault="00356594" w:rsidP="00B43571">
          <w:pPr>
            <w:spacing w:after="0" w:line="240" w:lineRule="auto"/>
            <w:rPr>
              <w:rFonts w:ascii="Times New Roman" w:eastAsia="Times New Roman" w:hAnsi="Times New Roman" w:cs="Times New Roman"/>
              <w:sz w:val="20"/>
              <w:szCs w:val="20"/>
              <w:lang w:val="en-US"/>
            </w:rPr>
          </w:pPr>
        </w:p>
      </w:tc>
      <w:tc>
        <w:tcPr>
          <w:tcW w:w="2052" w:type="dxa"/>
          <w:tcBorders>
            <w:top w:val="single" w:sz="7" w:space="0" w:color="000000"/>
            <w:left w:val="single" w:sz="7" w:space="0" w:color="000000"/>
            <w:bottom w:val="single" w:sz="7" w:space="0" w:color="000000"/>
            <w:right w:val="single" w:sz="7" w:space="0" w:color="000000"/>
          </w:tcBorders>
        </w:tcPr>
        <w:p w:rsidR="00BE5F1D" w:rsidRPr="00B43571" w:rsidRDefault="00356594" w:rsidP="00B43571">
          <w:pPr>
            <w:spacing w:after="0" w:line="240" w:lineRule="auto"/>
            <w:rPr>
              <w:rFonts w:ascii="Arial Black" w:eastAsia="Times New Roman" w:hAnsi="Arial Black" w:cs="Arial"/>
              <w:i/>
              <w:sz w:val="10"/>
              <w:szCs w:val="10"/>
              <w:lang w:val="it-IT"/>
            </w:rPr>
          </w:pPr>
        </w:p>
        <w:p w:rsidR="00BE5F1D" w:rsidRPr="00B43571" w:rsidRDefault="00A06996" w:rsidP="00B43571">
          <w:pPr>
            <w:spacing w:after="0" w:line="240" w:lineRule="auto"/>
            <w:ind w:left="104"/>
            <w:rPr>
              <w:rFonts w:ascii="Arial Black" w:eastAsia="Arial Black" w:hAnsi="Arial Black" w:cs="Arial Black"/>
              <w:sz w:val="17"/>
              <w:szCs w:val="17"/>
              <w:lang w:val="en-US"/>
            </w:rPr>
          </w:pPr>
          <w:r w:rsidRPr="00B43571">
            <w:rPr>
              <w:rFonts w:ascii="Arial Black" w:eastAsia="Times New Roman" w:hAnsi="Arial Black" w:cs="Arial"/>
              <w:i/>
              <w:sz w:val="16"/>
              <w:szCs w:val="16"/>
              <w:lang w:val="it-IT"/>
            </w:rPr>
            <w:t xml:space="preserve">Faqe  </w:t>
          </w:r>
          <w:r w:rsidRPr="00B43571">
            <w:rPr>
              <w:rFonts w:ascii="Arial Black" w:eastAsia="Times New Roman" w:hAnsi="Arial Black" w:cs="Arial"/>
              <w:i/>
              <w:sz w:val="20"/>
              <w:szCs w:val="20"/>
              <w:lang w:val="it-IT"/>
            </w:rPr>
            <w:fldChar w:fldCharType="begin"/>
          </w:r>
          <w:r w:rsidRPr="00B43571">
            <w:rPr>
              <w:rFonts w:ascii="Arial Black" w:eastAsia="Times New Roman" w:hAnsi="Arial Black" w:cs="Arial"/>
              <w:i/>
              <w:sz w:val="20"/>
              <w:szCs w:val="20"/>
              <w:lang w:val="it-IT"/>
            </w:rPr>
            <w:instrText xml:space="preserve"> PAGE </w:instrText>
          </w:r>
          <w:r w:rsidRPr="00B43571">
            <w:rPr>
              <w:rFonts w:ascii="Arial Black" w:eastAsia="Times New Roman" w:hAnsi="Arial Black" w:cs="Arial"/>
              <w:i/>
              <w:sz w:val="20"/>
              <w:szCs w:val="20"/>
              <w:lang w:val="it-IT"/>
            </w:rPr>
            <w:fldChar w:fldCharType="separate"/>
          </w:r>
          <w:r w:rsidR="00B0519E">
            <w:rPr>
              <w:rFonts w:ascii="Arial Black" w:eastAsia="Times New Roman" w:hAnsi="Arial Black" w:cs="Arial"/>
              <w:i/>
              <w:noProof/>
              <w:sz w:val="20"/>
              <w:szCs w:val="20"/>
              <w:lang w:val="it-IT"/>
            </w:rPr>
            <w:t>1</w:t>
          </w:r>
          <w:r w:rsidRPr="00B43571">
            <w:rPr>
              <w:rFonts w:ascii="Arial Black" w:eastAsia="Times New Roman" w:hAnsi="Arial Black" w:cs="Arial"/>
              <w:i/>
              <w:sz w:val="20"/>
              <w:szCs w:val="20"/>
              <w:lang w:val="it-IT"/>
            </w:rPr>
            <w:fldChar w:fldCharType="end"/>
          </w:r>
          <w:r w:rsidRPr="00B43571">
            <w:rPr>
              <w:rFonts w:ascii="Arial Black" w:eastAsia="Times New Roman" w:hAnsi="Arial Black" w:cs="Arial"/>
              <w:i/>
              <w:sz w:val="20"/>
              <w:szCs w:val="20"/>
              <w:lang w:val="it-IT"/>
            </w:rPr>
            <w:t xml:space="preserve"> </w:t>
          </w:r>
          <w:r w:rsidRPr="00B43571">
            <w:rPr>
              <w:rFonts w:ascii="Arial Black" w:eastAsia="Times New Roman" w:hAnsi="Arial Black" w:cs="Arial"/>
              <w:i/>
              <w:sz w:val="16"/>
              <w:szCs w:val="16"/>
              <w:lang w:val="it-IT"/>
            </w:rPr>
            <w:t>nga</w:t>
          </w:r>
          <w:r w:rsidRPr="00B43571">
            <w:rPr>
              <w:rFonts w:ascii="Arial Black" w:eastAsia="Times New Roman" w:hAnsi="Arial Black" w:cs="Arial"/>
              <w:i/>
              <w:sz w:val="20"/>
              <w:szCs w:val="20"/>
              <w:lang w:val="it-IT"/>
            </w:rPr>
            <w:t xml:space="preserve">  </w:t>
          </w:r>
          <w:r w:rsidRPr="00B43571">
            <w:rPr>
              <w:rFonts w:ascii="Arial Black" w:eastAsia="Times New Roman" w:hAnsi="Arial Black" w:cs="Arial"/>
              <w:i/>
              <w:sz w:val="20"/>
              <w:szCs w:val="20"/>
              <w:lang w:val="it-IT"/>
            </w:rPr>
            <w:fldChar w:fldCharType="begin"/>
          </w:r>
          <w:r w:rsidRPr="00B43571">
            <w:rPr>
              <w:rFonts w:ascii="Arial Black" w:eastAsia="Times New Roman" w:hAnsi="Arial Black" w:cs="Arial"/>
              <w:i/>
              <w:sz w:val="20"/>
              <w:szCs w:val="20"/>
              <w:lang w:val="it-IT"/>
            </w:rPr>
            <w:instrText xml:space="preserve"> NUMPAGES </w:instrText>
          </w:r>
          <w:r w:rsidRPr="00B43571">
            <w:rPr>
              <w:rFonts w:ascii="Arial Black" w:eastAsia="Times New Roman" w:hAnsi="Arial Black" w:cs="Arial"/>
              <w:i/>
              <w:sz w:val="20"/>
              <w:szCs w:val="20"/>
              <w:lang w:val="it-IT"/>
            </w:rPr>
            <w:fldChar w:fldCharType="separate"/>
          </w:r>
          <w:r w:rsidR="00B0519E">
            <w:rPr>
              <w:rFonts w:ascii="Arial Black" w:eastAsia="Times New Roman" w:hAnsi="Arial Black" w:cs="Arial"/>
              <w:i/>
              <w:noProof/>
              <w:sz w:val="20"/>
              <w:szCs w:val="20"/>
              <w:lang w:val="it-IT"/>
            </w:rPr>
            <w:t>4</w:t>
          </w:r>
          <w:r w:rsidRPr="00B43571">
            <w:rPr>
              <w:rFonts w:ascii="Arial Black" w:eastAsia="Times New Roman" w:hAnsi="Arial Black" w:cs="Arial"/>
              <w:i/>
              <w:sz w:val="20"/>
              <w:szCs w:val="20"/>
              <w:lang w:val="it-IT"/>
            </w:rPr>
            <w:fldChar w:fldCharType="end"/>
          </w:r>
        </w:p>
      </w:tc>
    </w:tr>
  </w:tbl>
  <w:p w:rsidR="00BE5F1D" w:rsidRDefault="003565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DA"/>
    <w:rsid w:val="00081BDA"/>
    <w:rsid w:val="00356594"/>
    <w:rsid w:val="0043332D"/>
    <w:rsid w:val="00575846"/>
    <w:rsid w:val="006576FF"/>
    <w:rsid w:val="00A05778"/>
    <w:rsid w:val="00A06996"/>
    <w:rsid w:val="00B0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0C8D2-D612-4720-B20E-DF37462B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BDA"/>
    <w:rPr>
      <w:lang w:val="en-GB"/>
    </w:rPr>
  </w:style>
  <w:style w:type="paragraph" w:styleId="ListParagraph">
    <w:name w:val="List Paragraph"/>
    <w:basedOn w:val="Normal"/>
    <w:uiPriority w:val="34"/>
    <w:qFormat/>
    <w:rsid w:val="00081BDA"/>
    <w:pPr>
      <w:ind w:left="720"/>
      <w:contextualSpacing/>
    </w:pPr>
  </w:style>
  <w:style w:type="paragraph" w:styleId="Footer">
    <w:name w:val="footer"/>
    <w:basedOn w:val="Normal"/>
    <w:link w:val="FooterChar"/>
    <w:uiPriority w:val="99"/>
    <w:unhideWhenUsed/>
    <w:rsid w:val="00081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BDA"/>
    <w:rPr>
      <w:lang w:val="en-GB"/>
    </w:rPr>
  </w:style>
  <w:style w:type="paragraph" w:styleId="BalloonText">
    <w:name w:val="Balloon Text"/>
    <w:basedOn w:val="Normal"/>
    <w:link w:val="BalloonTextChar"/>
    <w:uiPriority w:val="99"/>
    <w:semiHidden/>
    <w:unhideWhenUsed/>
    <w:rsid w:val="00A05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77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2025-02-04T13:03:00Z</cp:lastPrinted>
  <dcterms:created xsi:type="dcterms:W3CDTF">2025-02-06T19:26:00Z</dcterms:created>
  <dcterms:modified xsi:type="dcterms:W3CDTF">2025-02-06T19:26:00Z</dcterms:modified>
</cp:coreProperties>
</file>